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C18E41" w14:textId="60DD127F" w:rsidR="00936357" w:rsidRDefault="00936357" w:rsidP="00845AA5">
      <w:pPr>
        <w:spacing w:after="240" w:line="240" w:lineRule="auto"/>
        <w:ind w:left="-17"/>
        <w:jc w:val="both"/>
        <w:rPr>
          <w:rFonts w:ascii="Times New Roman" w:eastAsia="Times New Roman" w:hAnsi="Times New Roman" w:cs="Times New Roman"/>
          <w:color w:val="000000"/>
          <w:sz w:val="24"/>
          <w:lang w:eastAsia="en-IN"/>
        </w:rPr>
      </w:pPr>
      <w:r w:rsidRPr="00936357">
        <w:rPr>
          <w:rFonts w:ascii="Times New Roman" w:eastAsia="Times New Roman" w:hAnsi="Times New Roman" w:cs="Times New Roman"/>
          <w:color w:val="000000"/>
          <w:sz w:val="24"/>
          <w:lang w:eastAsia="en-IN"/>
        </w:rPr>
        <w:t xml:space="preserve">PREFACE TO THE EDITION </w:t>
      </w:r>
    </w:p>
    <w:p w14:paraId="52A16746"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 xml:space="preserve">The rapid evolution of Artificial Intelligence has fundamentally transformed the contours of contemporary research, innovation, and human understanding. As AI systems continue to expand their influence across scientific, educational, linguistic, and societal domains, the need for rigorous scholarly engagement becomes increasingly vital. It is with great pride and academic enthusiasm that we present the latest issue of the </w:t>
      </w:r>
      <w:r w:rsidRPr="00245577">
        <w:rPr>
          <w:rFonts w:ascii="Times New Roman" w:eastAsia="Times New Roman" w:hAnsi="Times New Roman" w:cs="Times New Roman"/>
          <w:b/>
          <w:color w:val="000000"/>
          <w:lang w:val="en-US" w:eastAsia="en-IN"/>
        </w:rPr>
        <w:t>Eduschool Journal of Artificial Intelligence Research (EJAIR)</w:t>
      </w:r>
      <w:r w:rsidRPr="00245577">
        <w:rPr>
          <w:rFonts w:ascii="Times New Roman" w:eastAsia="Times New Roman" w:hAnsi="Times New Roman" w:cs="Times New Roman"/>
          <w:color w:val="000000"/>
          <w:lang w:val="en-US" w:eastAsia="en-IN"/>
        </w:rPr>
        <w:t>, a collection that brings together pioneering studies exploring some of the most significant frontiers in modern AI research.</w:t>
      </w:r>
    </w:p>
    <w:p w14:paraId="1503CD49"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This issue reflects the dynamic and interdisciplinary nature of Artificial Intelligence by presenting contributions that examine both the theoretical foundations and practical implications of large-scale intelligent systems. The articles featured herein collectively address critical challenges in multilingual learning, ethical alignment, mechanistic interpretability, scalable architectures, and emergent capabilities in foundation models. Together, they illuminate the transformative pathways through which AI continues to reshape computational intelligence and human–machine interaction.</w:t>
      </w:r>
    </w:p>
    <w:p w14:paraId="4DE72FBA"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A notable focus of this issue is the advancement of multilingual and inclusive AI systems. The study on cross-lingual transfer in multilingual foundation models offers valuable insights into how neural architectures acquire abstract linguistic representations across diverse languages, paving the way for improved performance in low-resource linguistic settings. Such research contributes meaningfully to the broader vision of democratizing AI technologies for global communities.</w:t>
      </w:r>
    </w:p>
    <w:p w14:paraId="391ED3FA"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Equally significant are the discussions surrounding responsible and aligned AI. The contribution on Constitutional AI introduces scalable methods for self-critique and revision, highlighting innovative approaches toward building AI systems that are not only capable, but also ethically grounded, transparent, and socially responsible. In an era where alignment and trustworthiness remain central concerns, this work represents an important step toward sustainable AI governance.</w:t>
      </w:r>
    </w:p>
    <w:p w14:paraId="6EB6FCC0"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The issue further deepens our understanding of transformer architectures through mechanistic interpretability studies that uncover the internal computational circuits enabling in-context learning. By revealing how transformers adapt to new tasks without parameter updates, the research provides valuable explanatory frameworks that bridge the gap between empirical success and theoretical understanding.</w:t>
      </w:r>
    </w:p>
    <w:p w14:paraId="7D0B5745"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Another major theme explored in this volume is computational efficiency at scale. The article on Mixture-of-Experts architectures demonstrates how sparse computation and expert specialization can enable trillion-parameter models while maintaining feasible deployment requirements. Complementing this perspective, the discussion on scaling laws and emergent behaviors challenges conventional assumptions about linear capability growth, offering fresh theoretical insights into the non-monotonic emergence of advanced reasoning abilities in foundation models.</w:t>
      </w:r>
    </w:p>
    <w:p w14:paraId="371FE648"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Collectively, the contributions in this issue underscore the remarkable pace at which Artificial Intelligence research is advancing while simultaneously reminding us of the intellectual, ethical, and societal responsibilities that accompany such progress. The studies presented here not only expand the boundaries of technical knowledge but also encourage deeper reflection on the future direction of AI research and its impact on humanity.</w:t>
      </w:r>
    </w:p>
    <w:p w14:paraId="5DD22781" w14:textId="77777777" w:rsidR="00245577" w:rsidRPr="00245577"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We extend our sincere gratitude to all authors, reviewers, editorial board members, and contributors whose dedication and scholarly commitment made this issue possible. Their collective efforts continue to strengthen EJAIR as a vibrant platform for innovative research and meaningful academic discourse in Artificial Intelligence.</w:t>
      </w:r>
    </w:p>
    <w:p w14:paraId="5D737712" w14:textId="6242676A" w:rsidR="00845AA5" w:rsidRPr="00845AA5" w:rsidRDefault="00245577" w:rsidP="00245577">
      <w:pPr>
        <w:spacing w:before="80" w:after="80" w:line="240" w:lineRule="auto"/>
        <w:ind w:firstLine="709"/>
        <w:jc w:val="both"/>
        <w:rPr>
          <w:rFonts w:ascii="Times New Roman" w:eastAsia="Times New Roman" w:hAnsi="Times New Roman" w:cs="Times New Roman"/>
          <w:color w:val="000000"/>
          <w:lang w:val="en-US" w:eastAsia="en-IN"/>
        </w:rPr>
      </w:pPr>
      <w:r w:rsidRPr="00245577">
        <w:rPr>
          <w:rFonts w:ascii="Times New Roman" w:eastAsia="Times New Roman" w:hAnsi="Times New Roman" w:cs="Times New Roman"/>
          <w:color w:val="000000"/>
          <w:lang w:val="en-US" w:eastAsia="en-IN"/>
        </w:rPr>
        <w:t>We hope that this issue will inspire researchers, educators, practitioners, and students to engage critically with emerging AI paradigms and contribute toward the development of intelligent systems that are innovative, inclusive, and ethically responsible.</w:t>
      </w:r>
      <w:r w:rsidR="003D4F19" w:rsidRPr="00845AA5">
        <w:rPr>
          <w:rFonts w:ascii="Times New Roman" w:eastAsia="Times New Roman" w:hAnsi="Times New Roman" w:cs="Times New Roman"/>
          <w:color w:val="000000"/>
          <w:lang w:val="en-US" w:eastAsia="en-IN"/>
        </w:rPr>
        <w:t xml:space="preserve">                                                                                                 </w:t>
      </w:r>
      <w:r w:rsidR="00E62165" w:rsidRPr="00845AA5">
        <w:rPr>
          <w:rFonts w:ascii="Times New Roman" w:eastAsia="Times New Roman" w:hAnsi="Times New Roman" w:cs="Times New Roman"/>
          <w:color w:val="000000"/>
          <w:lang w:val="en-US" w:eastAsia="en-IN"/>
        </w:rPr>
        <w:t xml:space="preserve"> </w:t>
      </w:r>
      <w:r w:rsidR="003C59DA" w:rsidRPr="00845AA5">
        <w:rPr>
          <w:rFonts w:ascii="Times New Roman" w:eastAsia="Times New Roman" w:hAnsi="Times New Roman" w:cs="Times New Roman"/>
          <w:color w:val="000000"/>
          <w:lang w:val="en-US" w:eastAsia="en-IN"/>
        </w:rPr>
        <w:t xml:space="preserve">                 </w:t>
      </w:r>
      <w:r w:rsidR="00845AA5" w:rsidRPr="00845AA5">
        <w:rPr>
          <w:rFonts w:ascii="Times New Roman" w:eastAsia="Times New Roman" w:hAnsi="Times New Roman" w:cs="Times New Roman"/>
          <w:color w:val="000000"/>
          <w:lang w:val="en-US" w:eastAsia="en-IN"/>
        </w:rPr>
        <w:t xml:space="preserve">                                                                  </w:t>
      </w:r>
    </w:p>
    <w:p w14:paraId="2651A2CF" w14:textId="77777777" w:rsidR="00845AA5" w:rsidRDefault="00845AA5" w:rsidP="00845AA5">
      <w:pPr>
        <w:spacing w:before="60" w:after="60" w:line="240" w:lineRule="auto"/>
        <w:ind w:firstLine="426"/>
        <w:jc w:val="both"/>
        <w:rPr>
          <w:rFonts w:ascii="Times New Roman" w:eastAsia="Times New Roman" w:hAnsi="Times New Roman" w:cs="Times New Roman"/>
          <w:color w:val="000000"/>
          <w:sz w:val="24"/>
          <w:szCs w:val="24"/>
          <w:lang w:val="en-US" w:eastAsia="en-IN"/>
        </w:rPr>
      </w:pPr>
    </w:p>
    <w:p w14:paraId="04C207A1" w14:textId="4A61F6CC" w:rsidR="003D4F19" w:rsidRDefault="00845AA5" w:rsidP="00845AA5">
      <w:pPr>
        <w:spacing w:before="60" w:after="60" w:line="240" w:lineRule="auto"/>
        <w:ind w:firstLine="426"/>
        <w:jc w:val="both"/>
        <w:rPr>
          <w:rFonts w:ascii="Times New Roman" w:eastAsia="Times New Roman" w:hAnsi="Times New Roman" w:cs="Times New Roman"/>
          <w:color w:val="000000"/>
          <w:sz w:val="24"/>
          <w:szCs w:val="24"/>
          <w:lang w:val="en-US" w:eastAsia="en-IN"/>
        </w:rPr>
      </w:pPr>
      <w:r>
        <w:rPr>
          <w:rFonts w:ascii="Times New Roman" w:eastAsia="Times New Roman" w:hAnsi="Times New Roman" w:cs="Times New Roman"/>
          <w:color w:val="000000"/>
          <w:sz w:val="24"/>
          <w:szCs w:val="24"/>
          <w:lang w:val="en-US" w:eastAsia="en-IN"/>
        </w:rPr>
        <w:t xml:space="preserve">                                                                              </w:t>
      </w:r>
      <w:r w:rsidRPr="00845AA5">
        <w:t xml:space="preserve"> </w:t>
      </w:r>
      <w:r>
        <w:t xml:space="preserve">            </w:t>
      </w:r>
      <w:r w:rsidR="00BD6523">
        <w:t xml:space="preserve">                           </w:t>
      </w:r>
      <w:r w:rsidR="00B54A25">
        <w:t xml:space="preserve">   </w:t>
      </w:r>
      <w:r w:rsidR="00BD6523">
        <w:t xml:space="preserve"> </w:t>
      </w:r>
      <w:r w:rsidR="00245577">
        <w:rPr>
          <w:rFonts w:ascii="Times New Roman" w:eastAsia="Times New Roman" w:hAnsi="Times New Roman" w:cs="Times New Roman"/>
          <w:color w:val="000000"/>
          <w:sz w:val="24"/>
          <w:szCs w:val="24"/>
          <w:lang w:eastAsia="en-IN"/>
        </w:rPr>
        <w:t xml:space="preserve">Dr. </w:t>
      </w:r>
      <w:r w:rsidR="00245577" w:rsidRPr="00245577">
        <w:rPr>
          <w:rFonts w:ascii="Times New Roman" w:eastAsia="Times New Roman" w:hAnsi="Times New Roman" w:cs="Times New Roman"/>
          <w:color w:val="000000"/>
          <w:sz w:val="24"/>
          <w:szCs w:val="24"/>
          <w:lang w:eastAsia="en-IN"/>
        </w:rPr>
        <w:t xml:space="preserve">Juby George </w:t>
      </w:r>
    </w:p>
    <w:p w14:paraId="4F35C679" w14:textId="2B45C3CE" w:rsidR="00BD6523" w:rsidRPr="007D6E93" w:rsidRDefault="008E7CEE" w:rsidP="00245577">
      <w:pPr>
        <w:tabs>
          <w:tab w:val="left" w:pos="7088"/>
        </w:tabs>
        <w:spacing w:before="60" w:after="60" w:line="240" w:lineRule="auto"/>
        <w:ind w:firstLine="426"/>
        <w:jc w:val="both"/>
        <w:rPr>
          <w:rFonts w:ascii="Times New Roman" w:eastAsia="Times New Roman" w:hAnsi="Times New Roman" w:cs="Times New Roman"/>
          <w:color w:val="000000"/>
          <w:sz w:val="24"/>
          <w:szCs w:val="24"/>
          <w:lang w:val="en-US" w:eastAsia="en-IN"/>
        </w:rPr>
      </w:pPr>
      <w:r>
        <w:rPr>
          <w:rFonts w:ascii="Times New Roman" w:eastAsia="Times New Roman" w:hAnsi="Times New Roman" w:cs="Times New Roman"/>
          <w:color w:val="000000"/>
          <w:sz w:val="24"/>
          <w:szCs w:val="24"/>
          <w:lang w:val="en-US" w:eastAsia="en-IN"/>
        </w:rPr>
        <w:t xml:space="preserve">                           </w:t>
      </w:r>
      <w:r w:rsidR="003D4F19">
        <w:rPr>
          <w:rFonts w:ascii="Times New Roman" w:eastAsia="Times New Roman" w:hAnsi="Times New Roman" w:cs="Times New Roman"/>
          <w:color w:val="000000"/>
          <w:sz w:val="24"/>
          <w:szCs w:val="24"/>
          <w:lang w:val="en-US" w:eastAsia="en-IN"/>
        </w:rPr>
        <w:t xml:space="preserve">                                                                                          </w:t>
      </w:r>
      <w:r w:rsidRPr="008E7CEE">
        <w:rPr>
          <w:rFonts w:ascii="Times New Roman" w:eastAsia="Times New Roman" w:hAnsi="Times New Roman" w:cs="Times New Roman"/>
          <w:color w:val="000000"/>
          <w:sz w:val="24"/>
          <w:szCs w:val="24"/>
          <w:lang w:val="en-US" w:eastAsia="en-IN"/>
        </w:rPr>
        <w:t>Chief editor</w:t>
      </w:r>
      <w:bookmarkStart w:id="0" w:name="_GoBack"/>
      <w:bookmarkEnd w:id="0"/>
    </w:p>
    <w:tbl>
      <w:tblPr>
        <w:tblW w:w="9375" w:type="dxa"/>
        <w:jc w:val="center"/>
        <w:tblCellSpacing w:w="28" w:type="dxa"/>
        <w:tblLook w:val="0000" w:firstRow="0" w:lastRow="0" w:firstColumn="0" w:lastColumn="0" w:noHBand="0" w:noVBand="0"/>
      </w:tblPr>
      <w:tblGrid>
        <w:gridCol w:w="1051"/>
        <w:gridCol w:w="4194"/>
        <w:gridCol w:w="2773"/>
        <w:gridCol w:w="1357"/>
      </w:tblGrid>
      <w:tr w:rsidR="00962FF2" w:rsidRPr="00962FF2" w14:paraId="78BCD74B" w14:textId="77777777" w:rsidTr="00A67B3E">
        <w:trPr>
          <w:trHeight w:val="480"/>
          <w:tblCellSpacing w:w="28" w:type="dxa"/>
          <w:jc w:val="center"/>
        </w:trPr>
        <w:tc>
          <w:tcPr>
            <w:tcW w:w="9263" w:type="dxa"/>
            <w:gridSpan w:val="4"/>
          </w:tcPr>
          <w:p w14:paraId="1D31BF51" w14:textId="69538278" w:rsidR="00936357" w:rsidRDefault="00936357" w:rsidP="00682A9F">
            <w:pPr>
              <w:spacing w:after="0" w:line="240" w:lineRule="auto"/>
              <w:jc w:val="both"/>
              <w:rPr>
                <w:rFonts w:ascii="Times New Roman" w:hAnsi="Times New Roman" w:cs="Times New Roman"/>
                <w:sz w:val="24"/>
                <w:szCs w:val="24"/>
              </w:rPr>
            </w:pPr>
            <w:r w:rsidRPr="00962FF2">
              <w:rPr>
                <w:rFonts w:ascii="Times New Roman" w:hAnsi="Times New Roman" w:cs="Times New Roman"/>
                <w:sz w:val="24"/>
                <w:szCs w:val="24"/>
              </w:rPr>
              <w:lastRenderedPageBreak/>
              <w:t>CONTENTS</w:t>
            </w:r>
          </w:p>
          <w:p w14:paraId="1CF4DC87" w14:textId="30F0B3E2" w:rsidR="00B003A3" w:rsidRPr="00962FF2" w:rsidRDefault="00B003A3" w:rsidP="00682A9F">
            <w:pPr>
              <w:spacing w:after="0" w:line="240" w:lineRule="auto"/>
              <w:jc w:val="both"/>
              <w:rPr>
                <w:rFonts w:ascii="Times New Roman" w:hAnsi="Times New Roman" w:cs="Times New Roman"/>
                <w:sz w:val="24"/>
                <w:szCs w:val="24"/>
              </w:rPr>
            </w:pPr>
          </w:p>
        </w:tc>
      </w:tr>
      <w:tr w:rsidR="00962FF2" w:rsidRPr="00962FF2" w14:paraId="68776B3F" w14:textId="77777777" w:rsidTr="00A67B3E">
        <w:trPr>
          <w:trHeight w:val="284"/>
          <w:tblCellSpacing w:w="28" w:type="dxa"/>
          <w:jc w:val="center"/>
        </w:trPr>
        <w:tc>
          <w:tcPr>
            <w:tcW w:w="967" w:type="dxa"/>
          </w:tcPr>
          <w:p w14:paraId="7F9C578C"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SL. NO</w:t>
            </w:r>
          </w:p>
        </w:tc>
        <w:tc>
          <w:tcPr>
            <w:tcW w:w="4138" w:type="dxa"/>
          </w:tcPr>
          <w:p w14:paraId="2BD78714"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TITLE</w:t>
            </w:r>
          </w:p>
        </w:tc>
        <w:tc>
          <w:tcPr>
            <w:tcW w:w="2717" w:type="dxa"/>
          </w:tcPr>
          <w:p w14:paraId="0665CF6E"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AUTHOR</w:t>
            </w:r>
          </w:p>
        </w:tc>
        <w:tc>
          <w:tcPr>
            <w:tcW w:w="1273" w:type="dxa"/>
          </w:tcPr>
          <w:p w14:paraId="0AD3552E" w14:textId="77777777" w:rsidR="00936357" w:rsidRPr="00962FF2" w:rsidRDefault="00936357" w:rsidP="00876C9C">
            <w:pPr>
              <w:spacing w:before="120" w:after="120" w:line="240" w:lineRule="auto"/>
              <w:jc w:val="center"/>
              <w:rPr>
                <w:rFonts w:ascii="Times New Roman" w:hAnsi="Times New Roman" w:cs="Times New Roman"/>
                <w:sz w:val="24"/>
                <w:szCs w:val="24"/>
              </w:rPr>
            </w:pPr>
            <w:r w:rsidRPr="00962FF2">
              <w:rPr>
                <w:rFonts w:ascii="Times New Roman" w:eastAsia="Times New Roman" w:hAnsi="Times New Roman" w:cs="Times New Roman"/>
                <w:sz w:val="24"/>
                <w:szCs w:val="24"/>
              </w:rPr>
              <w:t>PAGE NO</w:t>
            </w:r>
          </w:p>
        </w:tc>
      </w:tr>
      <w:tr w:rsidR="00962FF2" w:rsidRPr="00EC07A1" w14:paraId="4549C9EB" w14:textId="77777777" w:rsidTr="00A67B3E">
        <w:trPr>
          <w:trHeight w:val="585"/>
          <w:tblCellSpacing w:w="28" w:type="dxa"/>
          <w:jc w:val="center"/>
        </w:trPr>
        <w:tc>
          <w:tcPr>
            <w:tcW w:w="967" w:type="dxa"/>
          </w:tcPr>
          <w:p w14:paraId="485A502A"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1</w:t>
            </w:r>
          </w:p>
        </w:tc>
        <w:tc>
          <w:tcPr>
            <w:tcW w:w="4138" w:type="dxa"/>
          </w:tcPr>
          <w:p w14:paraId="4BC233E6" w14:textId="199491CB" w:rsidR="00F55936" w:rsidRPr="00F55936" w:rsidRDefault="00245577" w:rsidP="00F55936">
            <w:pPr>
              <w:shd w:val="clear" w:color="auto" w:fill="FFFFFF"/>
              <w:spacing w:after="120" w:line="240" w:lineRule="auto"/>
              <w:jc w:val="both"/>
              <w:outlineLvl w:val="3"/>
              <w:rPr>
                <w:rFonts w:ascii="Times New Roman" w:hAnsi="Times New Roman" w:cs="Times New Roman"/>
              </w:rPr>
            </w:pPr>
            <w:r w:rsidRPr="00245577">
              <w:rPr>
                <w:rFonts w:ascii="Times New Roman" w:hAnsi="Times New Roman" w:cs="Mangal"/>
                <w:lang w:bidi="hi-IN"/>
              </w:rPr>
              <w:t>Cross-Lingual Transfer in Multilingual Foundation Models: Mechanisms and Optimization</w:t>
            </w:r>
          </w:p>
        </w:tc>
        <w:tc>
          <w:tcPr>
            <w:tcW w:w="2717" w:type="dxa"/>
          </w:tcPr>
          <w:p w14:paraId="744DD3D2" w14:textId="1D6D77A3" w:rsidR="00885CA3" w:rsidRPr="00EC07A1" w:rsidRDefault="00245577" w:rsidP="00F55936">
            <w:pPr>
              <w:spacing w:after="0" w:line="240" w:lineRule="auto"/>
              <w:jc w:val="center"/>
              <w:rPr>
                <w:rFonts w:ascii="Times New Roman" w:hAnsi="Times New Roman" w:cs="Times New Roman"/>
              </w:rPr>
            </w:pPr>
            <w:r w:rsidRPr="00245577">
              <w:rPr>
                <w:rFonts w:ascii="Times New Roman" w:eastAsia="Times New Roman" w:hAnsi="Times New Roman" w:cs="Times New Roman"/>
              </w:rPr>
              <w:t>Ginne M James</w:t>
            </w:r>
          </w:p>
        </w:tc>
        <w:tc>
          <w:tcPr>
            <w:tcW w:w="1273" w:type="dxa"/>
          </w:tcPr>
          <w:p w14:paraId="68C41440" w14:textId="312ADEF4" w:rsidR="00885CA3" w:rsidRPr="00EC07A1" w:rsidRDefault="00245577" w:rsidP="00885CA3">
            <w:pPr>
              <w:spacing w:after="0"/>
              <w:jc w:val="center"/>
              <w:rPr>
                <w:rFonts w:ascii="Times New Roman" w:hAnsi="Times New Roman" w:cs="Times New Roman"/>
              </w:rPr>
            </w:pPr>
            <w:r>
              <w:rPr>
                <w:rFonts w:ascii="Times New Roman" w:hAnsi="Times New Roman" w:cs="Times New Roman"/>
              </w:rPr>
              <w:t>1-9</w:t>
            </w:r>
          </w:p>
        </w:tc>
      </w:tr>
      <w:tr w:rsidR="00962FF2" w:rsidRPr="00EC07A1" w14:paraId="2F49E708" w14:textId="77777777" w:rsidTr="00A67B3E">
        <w:trPr>
          <w:trHeight w:val="555"/>
          <w:tblCellSpacing w:w="28" w:type="dxa"/>
          <w:jc w:val="center"/>
        </w:trPr>
        <w:tc>
          <w:tcPr>
            <w:tcW w:w="967" w:type="dxa"/>
          </w:tcPr>
          <w:p w14:paraId="3AD42113"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2</w:t>
            </w:r>
          </w:p>
        </w:tc>
        <w:tc>
          <w:tcPr>
            <w:tcW w:w="4138" w:type="dxa"/>
          </w:tcPr>
          <w:p w14:paraId="7705B489" w14:textId="164636EC" w:rsidR="00885CA3" w:rsidRPr="00EC07A1" w:rsidRDefault="00245577" w:rsidP="00F55936">
            <w:pPr>
              <w:shd w:val="clear" w:color="auto" w:fill="FFFFFF"/>
              <w:spacing w:after="120" w:line="240" w:lineRule="auto"/>
              <w:jc w:val="both"/>
              <w:outlineLvl w:val="3"/>
              <w:rPr>
                <w:rFonts w:ascii="Times New Roman" w:eastAsia="Times New Roman" w:hAnsi="Times New Roman" w:cs="Times New Roman"/>
                <w:bCs/>
                <w:lang w:eastAsia="en-IN"/>
              </w:rPr>
            </w:pPr>
            <w:r w:rsidRPr="00245577">
              <w:rPr>
                <w:rFonts w:ascii="Times New Roman" w:hAnsi="Times New Roman" w:cs="Tunga"/>
                <w:lang w:bidi="kn-IN"/>
              </w:rPr>
              <w:t>Constitutional AI: Scalable Alignment through Self-Critique and Revision</w:t>
            </w:r>
          </w:p>
        </w:tc>
        <w:tc>
          <w:tcPr>
            <w:tcW w:w="2717" w:type="dxa"/>
          </w:tcPr>
          <w:p w14:paraId="30EBD56B" w14:textId="50BBFB12" w:rsidR="00885CA3" w:rsidRPr="00EC07A1" w:rsidRDefault="00245577" w:rsidP="00F55936">
            <w:pPr>
              <w:spacing w:after="0" w:line="240" w:lineRule="auto"/>
              <w:jc w:val="center"/>
              <w:rPr>
                <w:rFonts w:ascii="Times New Roman" w:hAnsi="Times New Roman" w:cs="Times New Roman"/>
              </w:rPr>
            </w:pPr>
            <w:r w:rsidRPr="00245577">
              <w:rPr>
                <w:rFonts w:ascii="Times New Roman" w:eastAsia="Times New Roman" w:hAnsi="Times New Roman" w:cs="Times New Roman"/>
              </w:rPr>
              <w:t xml:space="preserve">Win Mathew John </w:t>
            </w:r>
          </w:p>
        </w:tc>
        <w:tc>
          <w:tcPr>
            <w:tcW w:w="1273" w:type="dxa"/>
          </w:tcPr>
          <w:p w14:paraId="62674834" w14:textId="74C5EC3E" w:rsidR="00885CA3" w:rsidRPr="00EC07A1" w:rsidRDefault="00245577" w:rsidP="00885CA3">
            <w:pPr>
              <w:spacing w:after="0"/>
              <w:jc w:val="center"/>
              <w:rPr>
                <w:rFonts w:ascii="Times New Roman" w:hAnsi="Times New Roman" w:cs="Times New Roman"/>
              </w:rPr>
            </w:pPr>
            <w:r>
              <w:rPr>
                <w:rFonts w:ascii="Times New Roman" w:hAnsi="Times New Roman" w:cs="Times New Roman"/>
              </w:rPr>
              <w:t>10-19</w:t>
            </w:r>
          </w:p>
        </w:tc>
      </w:tr>
      <w:tr w:rsidR="00962FF2" w:rsidRPr="00EC07A1" w14:paraId="3D578E70" w14:textId="77777777" w:rsidTr="00A67B3E">
        <w:trPr>
          <w:trHeight w:val="510"/>
          <w:tblCellSpacing w:w="28" w:type="dxa"/>
          <w:jc w:val="center"/>
        </w:trPr>
        <w:tc>
          <w:tcPr>
            <w:tcW w:w="967" w:type="dxa"/>
          </w:tcPr>
          <w:p w14:paraId="4130E636"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3</w:t>
            </w:r>
          </w:p>
        </w:tc>
        <w:tc>
          <w:tcPr>
            <w:tcW w:w="4138" w:type="dxa"/>
          </w:tcPr>
          <w:p w14:paraId="0BFC8A53" w14:textId="1CABB3C1" w:rsidR="00885CA3" w:rsidRPr="00E62165" w:rsidRDefault="00245577" w:rsidP="00F55936">
            <w:pPr>
              <w:shd w:val="clear" w:color="auto" w:fill="FFFFFF"/>
              <w:spacing w:after="120" w:line="240" w:lineRule="auto"/>
              <w:jc w:val="both"/>
              <w:outlineLvl w:val="3"/>
              <w:rPr>
                <w:rFonts w:ascii="Times New Roman" w:eastAsia="Times New Roman" w:hAnsi="Times New Roman" w:cs="Times New Roman"/>
                <w:bCs/>
                <w:lang w:eastAsia="en-IN"/>
              </w:rPr>
            </w:pPr>
            <w:r w:rsidRPr="00245577">
              <w:rPr>
                <w:rFonts w:ascii="Times New Roman" w:hAnsi="Times New Roman" w:cs="Times New Roman"/>
                <w:lang w:bidi="ml-IN"/>
              </w:rPr>
              <w:t>Mechanistic Interpretability of In-Context Learning in Transformers</w:t>
            </w:r>
          </w:p>
        </w:tc>
        <w:tc>
          <w:tcPr>
            <w:tcW w:w="2717" w:type="dxa"/>
          </w:tcPr>
          <w:p w14:paraId="72534A6C" w14:textId="7FAF5673" w:rsidR="00885CA3" w:rsidRPr="00EC07A1" w:rsidRDefault="00245577" w:rsidP="00F55936">
            <w:pPr>
              <w:spacing w:after="0" w:line="240" w:lineRule="auto"/>
              <w:jc w:val="center"/>
              <w:rPr>
                <w:rFonts w:ascii="Times New Roman" w:hAnsi="Times New Roman" w:cs="Times New Roman"/>
              </w:rPr>
            </w:pPr>
            <w:r w:rsidRPr="00245577">
              <w:rPr>
                <w:rFonts w:ascii="Times New Roman" w:eastAsia="Times New Roman" w:hAnsi="Times New Roman" w:cs="Times New Roman"/>
              </w:rPr>
              <w:t>Mini T V</w:t>
            </w:r>
          </w:p>
        </w:tc>
        <w:tc>
          <w:tcPr>
            <w:tcW w:w="1273" w:type="dxa"/>
          </w:tcPr>
          <w:p w14:paraId="005AFAE3" w14:textId="7DC9610C" w:rsidR="00885CA3" w:rsidRPr="00EC07A1" w:rsidRDefault="00245577" w:rsidP="00885CA3">
            <w:pPr>
              <w:spacing w:after="0"/>
              <w:jc w:val="center"/>
              <w:rPr>
                <w:rFonts w:ascii="Times New Roman" w:hAnsi="Times New Roman" w:cs="Times New Roman"/>
              </w:rPr>
            </w:pPr>
            <w:r>
              <w:rPr>
                <w:rFonts w:ascii="Times New Roman" w:hAnsi="Times New Roman" w:cs="Times New Roman"/>
              </w:rPr>
              <w:t>20-29</w:t>
            </w:r>
          </w:p>
        </w:tc>
      </w:tr>
      <w:tr w:rsidR="00962FF2" w:rsidRPr="00EC07A1" w14:paraId="54B57A6F" w14:textId="77777777" w:rsidTr="00A67B3E">
        <w:trPr>
          <w:trHeight w:val="465"/>
          <w:tblCellSpacing w:w="28" w:type="dxa"/>
          <w:jc w:val="center"/>
        </w:trPr>
        <w:tc>
          <w:tcPr>
            <w:tcW w:w="967" w:type="dxa"/>
          </w:tcPr>
          <w:p w14:paraId="63002C76" w14:textId="77777777" w:rsidR="00885CA3" w:rsidRPr="00EC07A1" w:rsidRDefault="00885CA3" w:rsidP="00885CA3">
            <w:pPr>
              <w:spacing w:after="0"/>
              <w:jc w:val="center"/>
              <w:rPr>
                <w:rFonts w:ascii="Times New Roman" w:hAnsi="Times New Roman" w:cs="Times New Roman"/>
              </w:rPr>
            </w:pPr>
            <w:r w:rsidRPr="00EC07A1">
              <w:rPr>
                <w:rFonts w:ascii="Times New Roman" w:hAnsi="Times New Roman" w:cs="Times New Roman"/>
              </w:rPr>
              <w:t>4</w:t>
            </w:r>
          </w:p>
        </w:tc>
        <w:tc>
          <w:tcPr>
            <w:tcW w:w="4138" w:type="dxa"/>
          </w:tcPr>
          <w:p w14:paraId="18B6A7ED" w14:textId="3CAD4FC9" w:rsidR="00885CA3" w:rsidRPr="00F06DD3" w:rsidRDefault="00245577" w:rsidP="00F06DD3">
            <w:pPr>
              <w:shd w:val="clear" w:color="auto" w:fill="FFFFFF"/>
              <w:spacing w:after="120" w:line="240" w:lineRule="auto"/>
              <w:jc w:val="both"/>
              <w:outlineLvl w:val="3"/>
              <w:rPr>
                <w:rFonts w:ascii="Times New Roman" w:hAnsi="Times New Roman" w:cs="Times New Roman"/>
              </w:rPr>
            </w:pPr>
            <w:r w:rsidRPr="00245577">
              <w:rPr>
                <w:rFonts w:ascii="Times New Roman" w:hAnsi="Times New Roman" w:cs="Mangal"/>
                <w:lang w:bidi="hi-IN"/>
              </w:rPr>
              <w:t>Mixture-of-Experts: Efficient Scaling to Trillion-Parameter Models</w:t>
            </w:r>
          </w:p>
        </w:tc>
        <w:tc>
          <w:tcPr>
            <w:tcW w:w="2717" w:type="dxa"/>
          </w:tcPr>
          <w:p w14:paraId="3254E8A5" w14:textId="5D382CAA" w:rsidR="00885CA3" w:rsidRPr="00EC07A1" w:rsidRDefault="00245577" w:rsidP="00401A26">
            <w:pPr>
              <w:spacing w:after="0" w:line="240" w:lineRule="auto"/>
              <w:jc w:val="center"/>
              <w:rPr>
                <w:rFonts w:ascii="Times New Roman" w:hAnsi="Times New Roman" w:cs="Times New Roman"/>
              </w:rPr>
            </w:pPr>
            <w:r w:rsidRPr="00245577">
              <w:rPr>
                <w:rFonts w:ascii="Times New Roman" w:eastAsia="Times New Roman" w:hAnsi="Times New Roman" w:cs="Times New Roman"/>
              </w:rPr>
              <w:t>Bini P B</w:t>
            </w:r>
          </w:p>
        </w:tc>
        <w:tc>
          <w:tcPr>
            <w:tcW w:w="1273" w:type="dxa"/>
          </w:tcPr>
          <w:p w14:paraId="7E6DC898" w14:textId="0616DDF5" w:rsidR="00885CA3" w:rsidRPr="00EC07A1" w:rsidRDefault="00245577" w:rsidP="00885CA3">
            <w:pPr>
              <w:spacing w:after="0"/>
              <w:jc w:val="center"/>
              <w:rPr>
                <w:rFonts w:ascii="Times New Roman" w:hAnsi="Times New Roman" w:cs="Times New Roman"/>
              </w:rPr>
            </w:pPr>
            <w:r>
              <w:rPr>
                <w:rFonts w:ascii="Times New Roman" w:hAnsi="Times New Roman" w:cs="Times New Roman"/>
              </w:rPr>
              <w:t>30-39</w:t>
            </w:r>
          </w:p>
        </w:tc>
      </w:tr>
      <w:tr w:rsidR="00D56A30" w:rsidRPr="00EC07A1" w14:paraId="0FF22932" w14:textId="77777777" w:rsidTr="00A67B3E">
        <w:trPr>
          <w:trHeight w:val="858"/>
          <w:tblCellSpacing w:w="28" w:type="dxa"/>
          <w:jc w:val="center"/>
        </w:trPr>
        <w:tc>
          <w:tcPr>
            <w:tcW w:w="967" w:type="dxa"/>
          </w:tcPr>
          <w:p w14:paraId="5422B62C" w14:textId="343DDF4E" w:rsidR="00D56A30" w:rsidRPr="00EC07A1" w:rsidRDefault="00A67B3E" w:rsidP="00D56A30">
            <w:pPr>
              <w:spacing w:after="0"/>
              <w:jc w:val="center"/>
              <w:rPr>
                <w:rFonts w:ascii="Times New Roman" w:hAnsi="Times New Roman" w:cs="Times New Roman"/>
              </w:rPr>
            </w:pPr>
            <w:r>
              <w:rPr>
                <w:rFonts w:ascii="Times New Roman" w:hAnsi="Times New Roman" w:cs="Times New Roman"/>
              </w:rPr>
              <w:t>5</w:t>
            </w:r>
          </w:p>
        </w:tc>
        <w:tc>
          <w:tcPr>
            <w:tcW w:w="4138" w:type="dxa"/>
          </w:tcPr>
          <w:p w14:paraId="52B38C4D" w14:textId="65F57970" w:rsidR="00D56A30" w:rsidRPr="00D56A30" w:rsidRDefault="00245577" w:rsidP="0095766B">
            <w:pPr>
              <w:spacing w:after="120" w:line="240" w:lineRule="auto"/>
              <w:jc w:val="both"/>
              <w:rPr>
                <w:rFonts w:ascii="Times New Roman" w:hAnsi="Times New Roman" w:cs="Mangal"/>
                <w:lang w:bidi="hi-IN"/>
              </w:rPr>
            </w:pPr>
            <w:r w:rsidRPr="00245577">
              <w:rPr>
                <w:rFonts w:ascii="Times New Roman" w:hAnsi="Times New Roman" w:cs="Mangal"/>
                <w:lang w:bidi="hi-IN"/>
              </w:rPr>
              <w:t>Scaling Laws Revisited: Non-Monotonic Emergence in Foundation Models</w:t>
            </w:r>
          </w:p>
        </w:tc>
        <w:tc>
          <w:tcPr>
            <w:tcW w:w="2717" w:type="dxa"/>
          </w:tcPr>
          <w:p w14:paraId="4D1A4967" w14:textId="64300DD7" w:rsidR="00D56A30" w:rsidRPr="00D56A30" w:rsidRDefault="00245577" w:rsidP="00D56A30">
            <w:pPr>
              <w:spacing w:after="0" w:line="240" w:lineRule="auto"/>
              <w:jc w:val="center"/>
              <w:rPr>
                <w:rFonts w:ascii="Times New Roman" w:hAnsi="Times New Roman" w:cs="Times New Roman"/>
              </w:rPr>
            </w:pPr>
            <w:r w:rsidRPr="00245577">
              <w:rPr>
                <w:rFonts w:ascii="Times New Roman" w:hAnsi="Times New Roman" w:cs="Times New Roman"/>
              </w:rPr>
              <w:t>Krishna Prasad K</w:t>
            </w:r>
          </w:p>
        </w:tc>
        <w:tc>
          <w:tcPr>
            <w:tcW w:w="1273" w:type="dxa"/>
          </w:tcPr>
          <w:p w14:paraId="047ECFAF" w14:textId="53F66CC7" w:rsidR="00D56A30" w:rsidRDefault="00245577" w:rsidP="00D56A30">
            <w:pPr>
              <w:spacing w:after="0"/>
              <w:jc w:val="center"/>
              <w:rPr>
                <w:rFonts w:ascii="Times New Roman" w:hAnsi="Times New Roman" w:cs="Times New Roman"/>
              </w:rPr>
            </w:pPr>
            <w:r>
              <w:rPr>
                <w:rFonts w:ascii="Times New Roman" w:hAnsi="Times New Roman" w:cs="Times New Roman"/>
              </w:rPr>
              <w:t>40-46</w:t>
            </w:r>
          </w:p>
        </w:tc>
      </w:tr>
    </w:tbl>
    <w:p w14:paraId="0CE58650" w14:textId="77777777" w:rsidR="00936357" w:rsidRPr="00936357" w:rsidRDefault="00936357" w:rsidP="00936357"/>
    <w:sectPr w:rsidR="00936357" w:rsidRPr="00936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Kartik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ung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5D0209"/>
    <w:multiLevelType w:val="hybridMultilevel"/>
    <w:tmpl w:val="71B6E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00"/>
    <w:rsid w:val="00012E16"/>
    <w:rsid w:val="00027919"/>
    <w:rsid w:val="00035107"/>
    <w:rsid w:val="00114810"/>
    <w:rsid w:val="00130582"/>
    <w:rsid w:val="00166E2D"/>
    <w:rsid w:val="001C4000"/>
    <w:rsid w:val="00245577"/>
    <w:rsid w:val="002668E9"/>
    <w:rsid w:val="002726C9"/>
    <w:rsid w:val="002A1E8C"/>
    <w:rsid w:val="002A3F28"/>
    <w:rsid w:val="002B4823"/>
    <w:rsid w:val="003000DD"/>
    <w:rsid w:val="00325E8E"/>
    <w:rsid w:val="003B3B81"/>
    <w:rsid w:val="003C59DA"/>
    <w:rsid w:val="003D4F19"/>
    <w:rsid w:val="003E1C03"/>
    <w:rsid w:val="00401A26"/>
    <w:rsid w:val="00495B15"/>
    <w:rsid w:val="005A0474"/>
    <w:rsid w:val="005C7DA4"/>
    <w:rsid w:val="00682A9F"/>
    <w:rsid w:val="006F5ACE"/>
    <w:rsid w:val="00720988"/>
    <w:rsid w:val="00784ABE"/>
    <w:rsid w:val="007D6E93"/>
    <w:rsid w:val="007E124E"/>
    <w:rsid w:val="007F50C3"/>
    <w:rsid w:val="0081367F"/>
    <w:rsid w:val="00845AA5"/>
    <w:rsid w:val="00864D32"/>
    <w:rsid w:val="00876C9C"/>
    <w:rsid w:val="00885CA3"/>
    <w:rsid w:val="008A30EB"/>
    <w:rsid w:val="008D2DD5"/>
    <w:rsid w:val="008D4F22"/>
    <w:rsid w:val="008E7CEE"/>
    <w:rsid w:val="009240C5"/>
    <w:rsid w:val="0093456F"/>
    <w:rsid w:val="00936357"/>
    <w:rsid w:val="0095766B"/>
    <w:rsid w:val="00962FF2"/>
    <w:rsid w:val="00983293"/>
    <w:rsid w:val="00983416"/>
    <w:rsid w:val="009B4488"/>
    <w:rsid w:val="009F3B14"/>
    <w:rsid w:val="00A02768"/>
    <w:rsid w:val="00A51C83"/>
    <w:rsid w:val="00A67B3E"/>
    <w:rsid w:val="00A872E3"/>
    <w:rsid w:val="00A94AB6"/>
    <w:rsid w:val="00B003A3"/>
    <w:rsid w:val="00B2247B"/>
    <w:rsid w:val="00B54A25"/>
    <w:rsid w:val="00B8407F"/>
    <w:rsid w:val="00BD24B9"/>
    <w:rsid w:val="00BD6523"/>
    <w:rsid w:val="00C34285"/>
    <w:rsid w:val="00CA508D"/>
    <w:rsid w:val="00CB4159"/>
    <w:rsid w:val="00CD4596"/>
    <w:rsid w:val="00D56A30"/>
    <w:rsid w:val="00D75DCF"/>
    <w:rsid w:val="00E60881"/>
    <w:rsid w:val="00E62165"/>
    <w:rsid w:val="00E8177C"/>
    <w:rsid w:val="00EB724A"/>
    <w:rsid w:val="00EC07A1"/>
    <w:rsid w:val="00EC449D"/>
    <w:rsid w:val="00EC7E4B"/>
    <w:rsid w:val="00ED1933"/>
    <w:rsid w:val="00F02143"/>
    <w:rsid w:val="00F06DD3"/>
    <w:rsid w:val="00F5593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C0FB"/>
  <w15:chartTrackingRefBased/>
  <w15:docId w15:val="{DFB14332-AE48-496B-B856-C4D8AADD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F"/>
    <w:pPr>
      <w:ind w:left="720"/>
      <w:contextualSpacing/>
    </w:pPr>
  </w:style>
  <w:style w:type="character" w:styleId="Hyperlink">
    <w:name w:val="Hyperlink"/>
    <w:basedOn w:val="DefaultParagraphFont"/>
    <w:uiPriority w:val="99"/>
    <w:unhideWhenUsed/>
    <w:rsid w:val="007D6E93"/>
    <w:rPr>
      <w:color w:val="0563C1" w:themeColor="hyperlink"/>
      <w:u w:val="single"/>
    </w:rPr>
  </w:style>
  <w:style w:type="character" w:customStyle="1" w:styleId="UnresolvedMention">
    <w:name w:val="Unresolved Mention"/>
    <w:basedOn w:val="DefaultParagraphFont"/>
    <w:uiPriority w:val="99"/>
    <w:semiHidden/>
    <w:unhideWhenUsed/>
    <w:rsid w:val="007D6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4736">
      <w:bodyDiv w:val="1"/>
      <w:marLeft w:val="0"/>
      <w:marRight w:val="0"/>
      <w:marTop w:val="0"/>
      <w:marBottom w:val="0"/>
      <w:divBdr>
        <w:top w:val="none" w:sz="0" w:space="0" w:color="auto"/>
        <w:left w:val="none" w:sz="0" w:space="0" w:color="auto"/>
        <w:bottom w:val="none" w:sz="0" w:space="0" w:color="auto"/>
        <w:right w:val="none" w:sz="0" w:space="0" w:color="auto"/>
      </w:divBdr>
    </w:div>
    <w:div w:id="505903331">
      <w:bodyDiv w:val="1"/>
      <w:marLeft w:val="0"/>
      <w:marRight w:val="0"/>
      <w:marTop w:val="0"/>
      <w:marBottom w:val="0"/>
      <w:divBdr>
        <w:top w:val="none" w:sz="0" w:space="0" w:color="auto"/>
        <w:left w:val="none" w:sz="0" w:space="0" w:color="auto"/>
        <w:bottom w:val="none" w:sz="0" w:space="0" w:color="auto"/>
        <w:right w:val="none" w:sz="0" w:space="0" w:color="auto"/>
      </w:divBdr>
    </w:div>
    <w:div w:id="651835937">
      <w:bodyDiv w:val="1"/>
      <w:marLeft w:val="0"/>
      <w:marRight w:val="0"/>
      <w:marTop w:val="0"/>
      <w:marBottom w:val="0"/>
      <w:divBdr>
        <w:top w:val="none" w:sz="0" w:space="0" w:color="auto"/>
        <w:left w:val="none" w:sz="0" w:space="0" w:color="auto"/>
        <w:bottom w:val="none" w:sz="0" w:space="0" w:color="auto"/>
        <w:right w:val="none" w:sz="0" w:space="0" w:color="auto"/>
      </w:divBdr>
    </w:div>
    <w:div w:id="744112951">
      <w:bodyDiv w:val="1"/>
      <w:marLeft w:val="0"/>
      <w:marRight w:val="0"/>
      <w:marTop w:val="0"/>
      <w:marBottom w:val="0"/>
      <w:divBdr>
        <w:top w:val="none" w:sz="0" w:space="0" w:color="auto"/>
        <w:left w:val="none" w:sz="0" w:space="0" w:color="auto"/>
        <w:bottom w:val="none" w:sz="0" w:space="0" w:color="auto"/>
        <w:right w:val="none" w:sz="0" w:space="0" w:color="auto"/>
      </w:divBdr>
      <w:divsChild>
        <w:div w:id="754860089">
          <w:marLeft w:val="0"/>
          <w:marRight w:val="0"/>
          <w:marTop w:val="15"/>
          <w:marBottom w:val="0"/>
          <w:divBdr>
            <w:top w:val="single" w:sz="48" w:space="0" w:color="auto"/>
            <w:left w:val="single" w:sz="48" w:space="0" w:color="auto"/>
            <w:bottom w:val="single" w:sz="48" w:space="0" w:color="auto"/>
            <w:right w:val="single" w:sz="48" w:space="0" w:color="auto"/>
          </w:divBdr>
          <w:divsChild>
            <w:div w:id="18963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60183">
      <w:bodyDiv w:val="1"/>
      <w:marLeft w:val="0"/>
      <w:marRight w:val="0"/>
      <w:marTop w:val="0"/>
      <w:marBottom w:val="0"/>
      <w:divBdr>
        <w:top w:val="none" w:sz="0" w:space="0" w:color="auto"/>
        <w:left w:val="none" w:sz="0" w:space="0" w:color="auto"/>
        <w:bottom w:val="none" w:sz="0" w:space="0" w:color="auto"/>
        <w:right w:val="none" w:sz="0" w:space="0" w:color="auto"/>
      </w:divBdr>
    </w:div>
    <w:div w:id="968363504">
      <w:bodyDiv w:val="1"/>
      <w:marLeft w:val="0"/>
      <w:marRight w:val="0"/>
      <w:marTop w:val="0"/>
      <w:marBottom w:val="0"/>
      <w:divBdr>
        <w:top w:val="none" w:sz="0" w:space="0" w:color="auto"/>
        <w:left w:val="none" w:sz="0" w:space="0" w:color="auto"/>
        <w:bottom w:val="none" w:sz="0" w:space="0" w:color="auto"/>
        <w:right w:val="none" w:sz="0" w:space="0" w:color="auto"/>
      </w:divBdr>
      <w:divsChild>
        <w:div w:id="1774787663">
          <w:marLeft w:val="0"/>
          <w:marRight w:val="0"/>
          <w:marTop w:val="15"/>
          <w:marBottom w:val="0"/>
          <w:divBdr>
            <w:top w:val="single" w:sz="48" w:space="0" w:color="auto"/>
            <w:left w:val="single" w:sz="48" w:space="0" w:color="auto"/>
            <w:bottom w:val="single" w:sz="48" w:space="0" w:color="auto"/>
            <w:right w:val="single" w:sz="48" w:space="0" w:color="auto"/>
          </w:divBdr>
          <w:divsChild>
            <w:div w:id="14741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858">
      <w:bodyDiv w:val="1"/>
      <w:marLeft w:val="0"/>
      <w:marRight w:val="0"/>
      <w:marTop w:val="0"/>
      <w:marBottom w:val="0"/>
      <w:divBdr>
        <w:top w:val="none" w:sz="0" w:space="0" w:color="auto"/>
        <w:left w:val="none" w:sz="0" w:space="0" w:color="auto"/>
        <w:bottom w:val="none" w:sz="0" w:space="0" w:color="auto"/>
        <w:right w:val="none" w:sz="0" w:space="0" w:color="auto"/>
      </w:divBdr>
    </w:div>
    <w:div w:id="1153911492">
      <w:bodyDiv w:val="1"/>
      <w:marLeft w:val="0"/>
      <w:marRight w:val="0"/>
      <w:marTop w:val="0"/>
      <w:marBottom w:val="0"/>
      <w:divBdr>
        <w:top w:val="none" w:sz="0" w:space="0" w:color="auto"/>
        <w:left w:val="none" w:sz="0" w:space="0" w:color="auto"/>
        <w:bottom w:val="none" w:sz="0" w:space="0" w:color="auto"/>
        <w:right w:val="none" w:sz="0" w:space="0" w:color="auto"/>
      </w:divBdr>
    </w:div>
    <w:div w:id="1158227813">
      <w:bodyDiv w:val="1"/>
      <w:marLeft w:val="0"/>
      <w:marRight w:val="0"/>
      <w:marTop w:val="0"/>
      <w:marBottom w:val="0"/>
      <w:divBdr>
        <w:top w:val="none" w:sz="0" w:space="0" w:color="auto"/>
        <w:left w:val="none" w:sz="0" w:space="0" w:color="auto"/>
        <w:bottom w:val="none" w:sz="0" w:space="0" w:color="auto"/>
        <w:right w:val="none" w:sz="0" w:space="0" w:color="auto"/>
      </w:divBdr>
    </w:div>
    <w:div w:id="1333801149">
      <w:bodyDiv w:val="1"/>
      <w:marLeft w:val="0"/>
      <w:marRight w:val="0"/>
      <w:marTop w:val="0"/>
      <w:marBottom w:val="0"/>
      <w:divBdr>
        <w:top w:val="none" w:sz="0" w:space="0" w:color="auto"/>
        <w:left w:val="none" w:sz="0" w:space="0" w:color="auto"/>
        <w:bottom w:val="none" w:sz="0" w:space="0" w:color="auto"/>
        <w:right w:val="none" w:sz="0" w:space="0" w:color="auto"/>
      </w:divBdr>
    </w:div>
    <w:div w:id="1513717572">
      <w:bodyDiv w:val="1"/>
      <w:marLeft w:val="0"/>
      <w:marRight w:val="0"/>
      <w:marTop w:val="0"/>
      <w:marBottom w:val="0"/>
      <w:divBdr>
        <w:top w:val="none" w:sz="0" w:space="0" w:color="auto"/>
        <w:left w:val="none" w:sz="0" w:space="0" w:color="auto"/>
        <w:bottom w:val="none" w:sz="0" w:space="0" w:color="auto"/>
        <w:right w:val="none" w:sz="0" w:space="0" w:color="auto"/>
      </w:divBdr>
    </w:div>
    <w:div w:id="1657806657">
      <w:bodyDiv w:val="1"/>
      <w:marLeft w:val="0"/>
      <w:marRight w:val="0"/>
      <w:marTop w:val="0"/>
      <w:marBottom w:val="0"/>
      <w:divBdr>
        <w:top w:val="none" w:sz="0" w:space="0" w:color="auto"/>
        <w:left w:val="none" w:sz="0" w:space="0" w:color="auto"/>
        <w:bottom w:val="none" w:sz="0" w:space="0" w:color="auto"/>
        <w:right w:val="none" w:sz="0" w:space="0" w:color="auto"/>
      </w:divBdr>
    </w:div>
    <w:div w:id="1677347072">
      <w:bodyDiv w:val="1"/>
      <w:marLeft w:val="0"/>
      <w:marRight w:val="0"/>
      <w:marTop w:val="0"/>
      <w:marBottom w:val="0"/>
      <w:divBdr>
        <w:top w:val="none" w:sz="0" w:space="0" w:color="auto"/>
        <w:left w:val="none" w:sz="0" w:space="0" w:color="auto"/>
        <w:bottom w:val="none" w:sz="0" w:space="0" w:color="auto"/>
        <w:right w:val="none" w:sz="0" w:space="0" w:color="auto"/>
      </w:divBdr>
    </w:div>
    <w:div w:id="17959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2026-05-13T11:47:00Z</cp:lastPrinted>
  <dcterms:created xsi:type="dcterms:W3CDTF">2026-05-15T08:49:00Z</dcterms:created>
  <dcterms:modified xsi:type="dcterms:W3CDTF">2026-05-15T08:49:00Z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63a8cb90-4e97-40ce-b4c2-a3625f6be898</vt:lpwstr>
  </property>
</Properties>
</file>